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3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140"/>
        <w:gridCol w:w="3343"/>
        <w:gridCol w:w="3255"/>
      </w:tblGrid>
      <w:tr>
        <w:trPr>
          <w:trHeight w:val="1403" w:hRule="atLeast"/>
          <w:cantSplit w:val="true"/>
        </w:trPr>
        <w:tc>
          <w:tcPr>
            <w:tcW w:w="4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itreprincipal"/>
              <w:spacing w:before="120" w:after="0"/>
              <w:rPr>
                <w:sz w:val="32"/>
                <w:szCs w:val="32"/>
                <w:u w:val="none"/>
                <w:lang w:val="en-GB"/>
              </w:rPr>
            </w:pPr>
            <w:r>
              <w:rPr>
                <w:sz w:val="32"/>
                <w:szCs w:val="32"/>
                <w:u w:val="none"/>
                <w:lang w:val="en-GB"/>
              </w:rPr>
              <w:drawing>
                <wp:anchor behindDoc="1" distT="0" distB="3175" distL="114300" distR="117475" simplePos="0" locked="0" layoutInCell="1" allowOverlap="1" relativeHeight="2">
                  <wp:simplePos x="0" y="0"/>
                  <wp:positionH relativeFrom="column">
                    <wp:posOffset>146050</wp:posOffset>
                  </wp:positionH>
                  <wp:positionV relativeFrom="paragraph">
                    <wp:posOffset>85725</wp:posOffset>
                  </wp:positionV>
                  <wp:extent cx="682625" cy="682625"/>
                  <wp:effectExtent l="0" t="0" r="0" b="0"/>
                  <wp:wrapNone/>
                  <wp:docPr id="1" name="Image 21"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1" descr="Copie de FranckLogocouleurs2 copie"/>
                          <pic:cNvPicPr>
                            <a:picLocks noChangeAspect="1" noChangeArrowheads="1"/>
                          </pic:cNvPicPr>
                        </pic:nvPicPr>
                        <pic:blipFill>
                          <a:blip r:embed="rId2"/>
                          <a:stretch>
                            <a:fillRect/>
                          </a:stretch>
                        </pic:blipFill>
                        <pic:spPr bwMode="auto">
                          <a:xfrm>
                            <a:off x="0" y="0"/>
                            <a:ext cx="682625" cy="682625"/>
                          </a:xfrm>
                          <a:prstGeom prst="rect">
                            <a:avLst/>
                          </a:prstGeom>
                        </pic:spPr>
                      </pic:pic>
                    </a:graphicData>
                  </a:graphic>
                </wp:anchor>
              </w:drawing>
            </w:r>
          </w:p>
        </w:tc>
        <w:tc>
          <w:tcPr>
            <w:tcW w:w="3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itre1"/>
              <w:tabs>
                <w:tab w:val="left" w:pos="708" w:leader="none"/>
              </w:tabs>
              <w:rPr>
                <w:rFonts w:ascii="Arial" w:hAnsi="Arial" w:cs="Arial"/>
                <w:bCs/>
                <w:sz w:val="18"/>
                <w:szCs w:val="18"/>
              </w:rPr>
            </w:pPr>
            <w:r>
              <w:rPr>
                <w:rFonts w:cs="Arial" w:ascii="Arial" w:hAnsi="Arial"/>
                <w:b w:val="false"/>
                <w:bCs/>
                <w:sz w:val="18"/>
                <w:szCs w:val="18"/>
              </w:rPr>
              <w:t>ZA les Chauffours</w:t>
            </w:r>
          </w:p>
          <w:p>
            <w:pPr>
              <w:pStyle w:val="Normal"/>
              <w:jc w:val="center"/>
              <w:rPr>
                <w:rFonts w:ascii="Arial" w:hAnsi="Arial" w:cs="Arial"/>
                <w:sz w:val="18"/>
                <w:szCs w:val="18"/>
              </w:rPr>
            </w:pPr>
            <w:r>
              <w:rPr>
                <w:rFonts w:cs="Arial" w:ascii="Arial" w:hAnsi="Arial"/>
                <w:sz w:val="18"/>
                <w:szCs w:val="18"/>
              </w:rPr>
              <w:t>BP 1032</w:t>
            </w:r>
          </w:p>
          <w:p>
            <w:pPr>
              <w:pStyle w:val="Normal"/>
              <w:jc w:val="center"/>
              <w:rPr>
                <w:rFonts w:ascii="Arial" w:hAnsi="Arial" w:cs="Arial"/>
                <w:sz w:val="18"/>
                <w:szCs w:val="18"/>
              </w:rPr>
            </w:pPr>
            <w:r>
              <w:rPr>
                <w:rFonts w:cs="Arial" w:ascii="Arial" w:hAnsi="Arial"/>
                <w:sz w:val="18"/>
                <w:szCs w:val="18"/>
              </w:rPr>
              <w:t>62710 Courrières</w:t>
            </w:r>
          </w:p>
          <w:p>
            <w:pPr>
              <w:pStyle w:val="Normal"/>
              <w:jc w:val="center"/>
              <w:rPr/>
            </w:pPr>
            <w:r>
              <w:rPr>
                <w:rFonts w:cs="Arial" w:ascii="Arial" w:hAnsi="Arial"/>
                <w:bCs/>
                <w:sz w:val="18"/>
                <w:szCs w:val="18"/>
              </w:rPr>
              <w:t xml:space="preserve">Email : </w:t>
            </w:r>
            <w:hyperlink r:id="rId3">
              <w:r>
                <w:rPr>
                  <w:rStyle w:val="LienInternet"/>
                  <w:rFonts w:cs="Arial" w:ascii="Arial" w:hAnsi="Arial"/>
                  <w:bCs/>
                  <w:sz w:val="18"/>
                  <w:szCs w:val="18"/>
                </w:rPr>
                <w:t>fmdformation@orange.fr</w:t>
              </w:r>
            </w:hyperlink>
          </w:p>
          <w:p>
            <w:pPr>
              <w:pStyle w:val="Normal"/>
              <w:jc w:val="center"/>
              <w:rPr>
                <w:rFonts w:ascii="Arial" w:hAnsi="Arial" w:cs="Arial"/>
                <w:bCs/>
                <w:sz w:val="18"/>
                <w:szCs w:val="18"/>
              </w:rPr>
            </w:pPr>
            <w:r>
              <w:rPr>
                <w:rFonts w:cs="Arial" w:ascii="Arial" w:hAnsi="Arial"/>
                <w:bCs/>
                <w:sz w:val="18"/>
                <w:szCs w:val="18"/>
              </w:rPr>
              <w:t>Site : fmd-formation.fr</w:t>
              <w:br/>
            </w:r>
            <w:r>
              <w:rPr>
                <w:rFonts w:cs="Arial" w:ascii="Arial" w:hAnsi="Arial"/>
                <w:b/>
                <w:sz w:val="18"/>
                <w:szCs w:val="18"/>
              </w:rPr>
              <w:t>Tél : 03.91.83.33.68</w:t>
            </w:r>
          </w:p>
        </w:tc>
        <w:tc>
          <w:tcPr>
            <w:tcW w:w="3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Titreprincipal"/>
              <w:rPr>
                <w:b w:val="false"/>
                <w:b w:val="false"/>
                <w:sz w:val="18"/>
                <w:szCs w:val="18"/>
                <w:u w:val="none"/>
              </w:rPr>
            </w:pPr>
            <w:r>
              <w:rPr>
                <w:b w:val="false"/>
                <w:sz w:val="18"/>
                <w:szCs w:val="18"/>
                <w:u w:val="none"/>
              </w:rPr>
              <w:t>Référence : D135</w:t>
            </w:r>
          </w:p>
          <w:p>
            <w:pPr>
              <w:pStyle w:val="Titreprincipal"/>
              <w:rPr>
                <w:b w:val="false"/>
                <w:b w:val="false"/>
                <w:sz w:val="18"/>
                <w:szCs w:val="18"/>
                <w:u w:val="none"/>
              </w:rPr>
            </w:pPr>
            <w:r>
              <w:rPr>
                <w:b w:val="false"/>
                <w:sz w:val="18"/>
                <w:szCs w:val="18"/>
                <w:u w:val="none"/>
              </w:rPr>
            </w:r>
          </w:p>
          <w:p>
            <w:pPr>
              <w:pStyle w:val="Titreprincipal"/>
              <w:rPr>
                <w:b w:val="false"/>
                <w:b w:val="false"/>
                <w:sz w:val="18"/>
                <w:szCs w:val="18"/>
                <w:u w:val="none"/>
              </w:rPr>
            </w:pPr>
            <w:r>
              <w:rPr>
                <w:b w:val="false"/>
                <w:sz w:val="18"/>
                <w:szCs w:val="18"/>
                <w:u w:val="none"/>
              </w:rPr>
              <w:t>Date d’application :</w:t>
            </w:r>
          </w:p>
          <w:p>
            <w:pPr>
              <w:pStyle w:val="Titreprincipal"/>
              <w:rPr>
                <w:b w:val="false"/>
                <w:b w:val="false"/>
                <w:sz w:val="18"/>
                <w:szCs w:val="18"/>
                <w:u w:val="none"/>
              </w:rPr>
            </w:pPr>
            <w:r>
              <w:rPr>
                <w:b w:val="false"/>
                <w:sz w:val="18"/>
                <w:szCs w:val="18"/>
                <w:u w:val="none"/>
              </w:rPr>
              <w:t>04/06/2022</w:t>
            </w:r>
          </w:p>
          <w:p>
            <w:pPr>
              <w:pStyle w:val="Titreprincipal"/>
              <w:rPr>
                <w:b w:val="false"/>
                <w:b w:val="false"/>
                <w:sz w:val="18"/>
                <w:szCs w:val="18"/>
                <w:u w:val="none"/>
              </w:rPr>
            </w:pPr>
            <w:r>
              <w:rPr>
                <w:b w:val="false"/>
                <w:sz w:val="18"/>
                <w:szCs w:val="18"/>
                <w:u w:val="none"/>
              </w:rPr>
              <w:t>Date de modification : 15</w:t>
            </w:r>
            <w:bookmarkStart w:id="0" w:name="_GoBack"/>
            <w:bookmarkEnd w:id="0"/>
            <w:r>
              <w:rPr>
                <w:b w:val="false"/>
                <w:sz w:val="18"/>
                <w:szCs w:val="18"/>
                <w:u w:val="none"/>
              </w:rPr>
              <w:t>/09/2022</w:t>
            </w:r>
          </w:p>
        </w:tc>
      </w:tr>
      <w:tr>
        <w:trPr>
          <w:trHeight w:val="982" w:hRule="atLeast"/>
        </w:trPr>
        <w:tc>
          <w:tcPr>
            <w:tcW w:w="107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Arial" w:hAnsi="Arial" w:cs="Arial"/>
                <w:b/>
                <w:b/>
                <w:color w:val="00AC4E"/>
                <w:sz w:val="22"/>
                <w:szCs w:val="22"/>
              </w:rPr>
            </w:pPr>
            <w:r>
              <w:rPr>
                <w:rFonts w:cs="Arial" w:ascii="Arial" w:hAnsi="Arial"/>
                <w:b/>
                <w:color w:val="00CC99"/>
                <w:sz w:val="22"/>
                <w:szCs w:val="22"/>
              </w:rPr>
              <w:t>PROGRAMME DE FORMATION</w:t>
            </w:r>
          </w:p>
          <w:p>
            <w:pPr>
              <w:pStyle w:val="Normal"/>
              <w:spacing w:before="60" w:after="0"/>
              <w:jc w:val="center"/>
              <w:rPr>
                <w:rFonts w:ascii="Arial" w:hAnsi="Arial" w:cs="Arial"/>
                <w:b/>
                <w:b/>
                <w:color w:val="00CC99"/>
                <w:sz w:val="28"/>
                <w:szCs w:val="28"/>
              </w:rPr>
            </w:pPr>
            <w:r>
              <w:rPr>
                <w:rFonts w:cs="Arial" w:ascii="Arial" w:hAnsi="Arial"/>
                <w:b/>
                <w:color w:val="00CC99"/>
                <w:sz w:val="28"/>
                <w:szCs w:val="28"/>
              </w:rPr>
              <w:t>SST INITIAL</w:t>
            </w:r>
          </w:p>
        </w:tc>
      </w:tr>
    </w:tbl>
    <w:p>
      <w:pPr>
        <w:pStyle w:val="Normal"/>
        <w:rPr>
          <w:rFonts w:ascii="Arial" w:hAnsi="Arial" w:cs="Arial"/>
          <w:sz w:val="16"/>
          <w:szCs w:val="16"/>
        </w:rPr>
      </w:pPr>
      <w:r>
        <w:rPr>
          <w:rFonts w:cs="Arial" w:ascii="Arial" w:hAnsi="Arial"/>
          <w:sz w:val="16"/>
          <w:szCs w:val="16"/>
        </w:rPr>
      </w:r>
    </w:p>
    <w:tbl>
      <w:tblPr>
        <w:tblStyle w:val="Grilledutableau"/>
        <w:tblW w:w="10774" w:type="dxa"/>
        <w:jc w:val="left"/>
        <w:tblInd w:w="-856" w:type="dxa"/>
        <w:tblCellMar>
          <w:top w:w="0" w:type="dxa"/>
          <w:left w:w="108" w:type="dxa"/>
          <w:bottom w:w="0" w:type="dxa"/>
          <w:right w:w="108" w:type="dxa"/>
        </w:tblCellMar>
        <w:tblLook w:firstRow="1" w:noVBand="1" w:lastRow="0" w:firstColumn="1" w:lastColumn="0" w:noHBand="0" w:val="04a0"/>
      </w:tblPr>
      <w:tblGrid>
        <w:gridCol w:w="3119"/>
        <w:gridCol w:w="7654"/>
      </w:tblGrid>
      <w:tr>
        <w:trPr>
          <w:trHeight w:val="1226" w:hRule="atLeast"/>
        </w:trPr>
        <w:tc>
          <w:tcPr>
            <w:tcW w:w="3119" w:type="dxa"/>
            <w:tcBorders/>
            <w:shd w:color="auto" w:fill="CCFFCC" w:val="clear"/>
            <w:tcMar>
              <w:left w:w="108" w:type="dxa"/>
            </w:tcMar>
          </w:tcPr>
          <w:p>
            <w:pPr>
              <w:pStyle w:val="Normal"/>
              <w:spacing w:before="80" w:after="0"/>
              <w:jc w:val="both"/>
              <w:rPr>
                <w:rFonts w:ascii="Arial" w:hAnsi="Arial" w:cs="Arial"/>
                <w:sz w:val="18"/>
                <w:szCs w:val="18"/>
              </w:rPr>
            </w:pPr>
            <w:bookmarkStart w:id="1" w:name="_Hlk23151103"/>
            <w:bookmarkEnd w:id="1"/>
            <w:r>
              <w:rPr>
                <w:rFonts w:cs="Arial" w:ascii="Arial" w:hAnsi="Arial"/>
                <w:b/>
                <w:bCs/>
                <w:sz w:val="18"/>
                <w:szCs w:val="18"/>
              </w:rPr>
              <w:t>Objectifs :</w:t>
            </w:r>
          </w:p>
          <w:p>
            <w:pPr>
              <w:pStyle w:val="Normal"/>
              <w:numPr>
                <w:ilvl w:val="0"/>
                <w:numId w:val="1"/>
              </w:numPr>
              <w:tabs>
                <w:tab w:val="left" w:pos="153" w:leader="none"/>
              </w:tabs>
              <w:ind w:left="153" w:hanging="152"/>
              <w:rPr>
                <w:rFonts w:ascii="Arial" w:hAnsi="Arial" w:cs="Arial"/>
                <w:sz w:val="14"/>
                <w:szCs w:val="14"/>
              </w:rPr>
            </w:pPr>
            <w:r>
              <w:rPr>
                <w:rFonts w:cs="Arial" w:ascii="Arial" w:hAnsi="Arial"/>
                <w:sz w:val="16"/>
                <w:szCs w:val="16"/>
              </w:rPr>
              <w:t>Etre capable d’intervenir efficacement face à une situation d’accident, et, en matière de prévention, de mettre en application des compétences au profit de la santé et sécurité au travail.</w:t>
            </w:r>
          </w:p>
        </w:tc>
        <w:tc>
          <w:tcPr>
            <w:tcW w:w="7654" w:type="dxa"/>
            <w:vMerge w:val="restart"/>
            <w:tcBorders/>
            <w:shd w:fill="auto" w:val="clear"/>
            <w:tcMar>
              <w:left w:w="108" w:type="dxa"/>
            </w:tcMar>
          </w:tcPr>
          <w:p>
            <w:pPr>
              <w:pStyle w:val="Normal"/>
              <w:jc w:val="both"/>
              <w:rPr>
                <w:rFonts w:ascii="Arial" w:hAnsi="Arial" w:cs="Arial"/>
                <w:b/>
                <w:b/>
                <w:bCs/>
                <w:sz w:val="14"/>
                <w:szCs w:val="14"/>
              </w:rPr>
            </w:pPr>
            <w:r>
              <w:rPr>
                <w:rFonts w:cs="Arial" w:ascii="Arial" w:hAnsi="Arial"/>
                <w:b/>
                <w:bCs/>
                <w:sz w:val="14"/>
                <w:szCs w:val="14"/>
              </w:rPr>
              <w:t>Programme :</w:t>
            </w:r>
          </w:p>
          <w:p>
            <w:pPr>
              <w:pStyle w:val="Normal"/>
              <w:jc w:val="both"/>
              <w:rPr>
                <w:rFonts w:ascii="Arial" w:hAnsi="Arial" w:cs="Arial"/>
                <w:b/>
                <w:b/>
                <w:bCs/>
                <w:sz w:val="14"/>
                <w:szCs w:val="14"/>
              </w:rPr>
            </w:pPr>
            <w:r>
              <w:rPr>
                <w:rFonts w:cs="Arial" w:ascii="Arial" w:hAnsi="Arial"/>
                <w:b/>
                <w:bCs/>
                <w:sz w:val="14"/>
                <w:szCs w:val="14"/>
              </w:rPr>
              <w:t>Connaître le contexte réglementaire :</w:t>
            </w:r>
          </w:p>
          <w:p>
            <w:pPr>
              <w:pStyle w:val="Normal"/>
              <w:numPr>
                <w:ilvl w:val="0"/>
                <w:numId w:val="1"/>
              </w:numPr>
              <w:tabs>
                <w:tab w:val="left" w:pos="289" w:leader="none"/>
              </w:tabs>
              <w:spacing w:before="80" w:after="0"/>
              <w:ind w:left="289" w:hanging="284"/>
              <w:jc w:val="both"/>
              <w:rPr>
                <w:rFonts w:ascii="Arial" w:hAnsi="Arial" w:cs="Arial"/>
                <w:sz w:val="14"/>
                <w:szCs w:val="14"/>
              </w:rPr>
            </w:pPr>
            <w:r>
              <w:rPr>
                <w:rFonts w:cs="Arial" w:ascii="Arial" w:hAnsi="Arial"/>
                <w:sz w:val="14"/>
                <w:szCs w:val="14"/>
              </w:rPr>
              <w:t>Selon les articles R4224-15 &amp; R4224-16 du Code du travail, relatif à l’organisation des secours, l’entreprise doit disposer de personnels pouvant assurer les premiers secours aux accidentés et aux malades. Outre cette obligation, le Sauveteur Secouriste du Travail est un acteur important de la prévention des risques professionnels au sein de l’entreprise, il permet d’anticiper l’accident en repérant les situations dangereuses et, en cas d’accident, ses interventions sur les blessés font diminuer la gravité des conséquences des lésions.</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Pour dispenser les formations Sauveteur Secouriste du Travail, une certification délivrée par l’INRS est obligatoire afin d’assurer la mise en œuvre d’actions certifiantes reconnues et la validation de compétences avérées.</w:t>
            </w:r>
          </w:p>
          <w:p>
            <w:pPr>
              <w:pStyle w:val="Normal"/>
              <w:spacing w:before="120" w:after="0"/>
              <w:jc w:val="both"/>
              <w:rPr>
                <w:rFonts w:ascii="Arial" w:hAnsi="Arial" w:cs="Arial"/>
                <w:sz w:val="14"/>
                <w:szCs w:val="14"/>
              </w:rPr>
            </w:pPr>
            <w:r>
              <w:rPr>
                <w:rFonts w:cs="Arial" w:ascii="Arial" w:hAnsi="Arial"/>
                <w:sz w:val="14"/>
                <w:szCs w:val="14"/>
              </w:rPr>
              <w:t>Conforme au programme élaboré par l’INRS (Institut National de Recherche et de Sécurité), intégrant l’utilisation du défibrillateur automatique externe.</w:t>
            </w:r>
          </w:p>
          <w:p>
            <w:pPr>
              <w:pStyle w:val="Normal"/>
              <w:spacing w:before="120" w:after="0"/>
              <w:jc w:val="both"/>
              <w:rPr>
                <w:rFonts w:ascii="Arial" w:hAnsi="Arial" w:cs="Arial"/>
                <w:b/>
                <w:b/>
                <w:bCs/>
                <w:sz w:val="14"/>
                <w:szCs w:val="14"/>
              </w:rPr>
            </w:pPr>
            <w:r>
              <w:rPr>
                <w:rFonts w:cs="Arial" w:ascii="Arial" w:hAnsi="Arial"/>
                <w:b/>
                <w:bCs/>
                <w:sz w:val="14"/>
                <w:szCs w:val="14"/>
              </w:rPr>
              <w:t>Le Sauveteur Secouriste du Travail :</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Présentation du programme</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Présentation du formateur et des participants</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Les accidents du travail dans l’établissement ou dans la profession</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L’intérêt de la prévention des risques professionnels</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Les actions de prévention menées dans l’entreprise</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Protéger, examiner, faire alerter, secourir (à l’aide du plan d’intervention SST)</w:t>
            </w:r>
          </w:p>
          <w:p>
            <w:pPr>
              <w:pStyle w:val="Normal"/>
              <w:spacing w:before="200" w:after="0"/>
              <w:jc w:val="both"/>
              <w:rPr>
                <w:rFonts w:ascii="Arial" w:hAnsi="Arial" w:eastAsia="Calibri" w:cs="Arial"/>
                <w:b/>
                <w:b/>
                <w:sz w:val="14"/>
                <w:szCs w:val="14"/>
                <w:lang w:eastAsia="en-US"/>
              </w:rPr>
            </w:pPr>
            <w:r>
              <w:rPr>
                <w:rFonts w:eastAsia="Calibri" w:cs="Arial" w:ascii="Arial" w:hAnsi="Arial"/>
                <w:b/>
                <w:sz w:val="14"/>
                <w:szCs w:val="14"/>
                <w:lang w:eastAsia="en-US"/>
              </w:rPr>
              <w:t>Situations inhérentes aux risques spécifiques :</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A la profession</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A l’entreprise</w:t>
            </w:r>
          </w:p>
          <w:p>
            <w:pPr>
              <w:pStyle w:val="Normal"/>
              <w:spacing w:before="200" w:after="0"/>
              <w:jc w:val="both"/>
              <w:rPr>
                <w:rFonts w:ascii="Arial" w:hAnsi="Arial" w:eastAsia="Calibri" w:cs="Arial"/>
                <w:b/>
                <w:b/>
                <w:sz w:val="14"/>
                <w:szCs w:val="14"/>
                <w:lang w:eastAsia="en-US"/>
              </w:rPr>
            </w:pPr>
            <w:r>
              <w:rPr>
                <w:rFonts w:eastAsia="Calibri" w:cs="Arial" w:ascii="Arial" w:hAnsi="Arial"/>
                <w:b/>
                <w:sz w:val="14"/>
                <w:szCs w:val="14"/>
                <w:lang w:eastAsia="en-US"/>
              </w:rPr>
              <w:t>Apprentissage du geste :</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 xml:space="preserve">Les gestes sont démontrés et effectués lors des cas concrets </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Réanimation Cardio-Pulmonaire (RCP) et la mise sur le côté (PLS)</w:t>
            </w:r>
          </w:p>
          <w:p>
            <w:pPr>
              <w:pStyle w:val="Normal"/>
              <w:spacing w:before="200" w:after="0"/>
              <w:jc w:val="both"/>
              <w:rPr>
                <w:rFonts w:ascii="Arial" w:hAnsi="Arial" w:eastAsia="Calibri" w:cs="Arial"/>
                <w:b/>
                <w:b/>
                <w:sz w:val="14"/>
                <w:szCs w:val="14"/>
                <w:lang w:eastAsia="en-US"/>
              </w:rPr>
            </w:pPr>
            <w:r>
              <w:rPr>
                <w:rFonts w:eastAsia="Calibri" w:cs="Arial" w:ascii="Arial" w:hAnsi="Arial"/>
                <w:b/>
                <w:sz w:val="14"/>
                <w:szCs w:val="14"/>
                <w:lang w:eastAsia="en-US"/>
              </w:rPr>
              <w:t>Cas concrets : Evaluation des candidats :</w:t>
            </w:r>
          </w:p>
          <w:p>
            <w:pPr>
              <w:pStyle w:val="Normal"/>
              <w:tabs>
                <w:tab w:val="left" w:pos="289" w:leader="none"/>
              </w:tabs>
              <w:spacing w:before="40" w:after="0"/>
              <w:ind w:left="6" w:hanging="0"/>
              <w:jc w:val="both"/>
              <w:rPr>
                <w:rFonts w:ascii="Arial" w:hAnsi="Arial" w:cs="Arial"/>
                <w:sz w:val="14"/>
                <w:szCs w:val="14"/>
              </w:rPr>
            </w:pPr>
            <w:r>
              <w:rPr>
                <w:rFonts w:cs="Arial" w:ascii="Arial" w:hAnsi="Arial"/>
                <w:sz w:val="14"/>
                <w:szCs w:val="14"/>
              </w:rPr>
              <w:t>Face à une situation d’accident, le sauveteur secouriste du travail doit être capable de :</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Déterminer l’action à effectuer pour obtenir le résultat à atteindre, que l’on a déduit de l’examen préalable</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Mettre en œuvre l’action choisie en se référant à la technique préconisée</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Effectuer l’action (succession de gestes) appropriée à l’état de la (des) victime(s)</w:t>
            </w:r>
          </w:p>
          <w:p>
            <w:pPr>
              <w:pStyle w:val="Normal"/>
              <w:numPr>
                <w:ilvl w:val="0"/>
                <w:numId w:val="1"/>
              </w:numPr>
              <w:tabs>
                <w:tab w:val="left" w:pos="289" w:leader="none"/>
              </w:tabs>
              <w:ind w:left="289" w:hanging="284"/>
              <w:jc w:val="both"/>
              <w:rPr>
                <w:rFonts w:ascii="Arial" w:hAnsi="Arial" w:cs="Arial"/>
                <w:sz w:val="14"/>
                <w:szCs w:val="14"/>
              </w:rPr>
            </w:pPr>
            <w:r>
              <w:rPr>
                <w:rFonts w:cs="Arial" w:ascii="Arial" w:hAnsi="Arial"/>
                <w:sz w:val="14"/>
                <w:szCs w:val="14"/>
              </w:rPr>
              <w:t>Vérifier, par observation de la victime, l’atteinte et la persistance du résultat obtenu jusqu’à la prise en charge de la victime par les secours spécialisés :</w:t>
            </w:r>
          </w:p>
          <w:p>
            <w:pPr>
              <w:pStyle w:val="ListParagraph"/>
              <w:numPr>
                <w:ilvl w:val="0"/>
                <w:numId w:val="2"/>
              </w:numPr>
              <w:tabs>
                <w:tab w:val="left" w:pos="289" w:leader="none"/>
              </w:tabs>
              <w:spacing w:before="40" w:after="0"/>
              <w:ind w:left="720" w:hanging="357"/>
              <w:jc w:val="both"/>
              <w:rPr>
                <w:rFonts w:ascii="Arial" w:hAnsi="Arial" w:cs="Arial"/>
                <w:sz w:val="14"/>
                <w:szCs w:val="14"/>
              </w:rPr>
            </w:pPr>
            <w:r>
              <w:rPr>
                <w:rFonts w:cs="Arial" w:ascii="Arial" w:hAnsi="Arial"/>
                <w:sz w:val="14"/>
                <w:szCs w:val="14"/>
              </w:rPr>
              <w:t>La victime saigne abondamment</w:t>
            </w:r>
          </w:p>
          <w:p>
            <w:pPr>
              <w:pStyle w:val="ListParagraph"/>
              <w:numPr>
                <w:ilvl w:val="0"/>
                <w:numId w:val="2"/>
              </w:numPr>
              <w:tabs>
                <w:tab w:val="left" w:pos="289" w:leader="none"/>
              </w:tabs>
              <w:spacing w:before="40" w:after="0"/>
              <w:ind w:left="720" w:hanging="357"/>
              <w:jc w:val="both"/>
              <w:rPr>
                <w:rFonts w:ascii="Arial" w:hAnsi="Arial" w:cs="Arial"/>
                <w:sz w:val="14"/>
                <w:szCs w:val="14"/>
              </w:rPr>
            </w:pPr>
            <w:r>
              <w:rPr>
                <w:rFonts w:cs="Arial" w:ascii="Arial" w:hAnsi="Arial"/>
                <w:sz w:val="14"/>
                <w:szCs w:val="14"/>
              </w:rPr>
              <w:t>Elle s’étouffe</w:t>
            </w:r>
          </w:p>
          <w:p>
            <w:pPr>
              <w:pStyle w:val="ListParagraph"/>
              <w:numPr>
                <w:ilvl w:val="0"/>
                <w:numId w:val="2"/>
              </w:numPr>
              <w:tabs>
                <w:tab w:val="left" w:pos="289" w:leader="none"/>
              </w:tabs>
              <w:spacing w:before="40" w:after="0"/>
              <w:ind w:left="720" w:hanging="357"/>
              <w:jc w:val="both"/>
              <w:rPr>
                <w:rFonts w:ascii="Arial" w:hAnsi="Arial" w:cs="Arial"/>
                <w:sz w:val="14"/>
                <w:szCs w:val="14"/>
              </w:rPr>
            </w:pPr>
            <w:r>
              <w:rPr>
                <w:rFonts w:cs="Arial" w:ascii="Arial" w:hAnsi="Arial"/>
                <w:sz w:val="14"/>
                <w:szCs w:val="14"/>
              </w:rPr>
              <w:t>Elle répond aux questions et se plaint de sensations pénibles et / ou présente des signes anormaux</w:t>
            </w:r>
          </w:p>
          <w:p>
            <w:pPr>
              <w:pStyle w:val="ListParagraph"/>
              <w:numPr>
                <w:ilvl w:val="0"/>
                <w:numId w:val="2"/>
              </w:numPr>
              <w:tabs>
                <w:tab w:val="left" w:pos="289" w:leader="none"/>
              </w:tabs>
              <w:spacing w:before="40" w:after="0"/>
              <w:ind w:left="720" w:hanging="357"/>
              <w:jc w:val="both"/>
              <w:rPr>
                <w:rFonts w:ascii="Arial" w:hAnsi="Arial" w:cs="Arial"/>
                <w:sz w:val="14"/>
                <w:szCs w:val="14"/>
              </w:rPr>
            </w:pPr>
            <w:r>
              <w:rPr>
                <w:rFonts w:cs="Arial" w:ascii="Arial" w:hAnsi="Arial"/>
                <w:sz w:val="14"/>
                <w:szCs w:val="14"/>
              </w:rPr>
              <w:t>Elle répond aux questions et de plaint de brûlures</w:t>
            </w:r>
          </w:p>
          <w:p>
            <w:pPr>
              <w:pStyle w:val="ListParagraph"/>
              <w:numPr>
                <w:ilvl w:val="0"/>
                <w:numId w:val="2"/>
              </w:numPr>
              <w:tabs>
                <w:tab w:val="left" w:pos="289" w:leader="none"/>
              </w:tabs>
              <w:spacing w:before="40" w:after="0"/>
              <w:ind w:left="720" w:hanging="357"/>
              <w:jc w:val="both"/>
              <w:rPr>
                <w:rFonts w:ascii="Arial" w:hAnsi="Arial" w:cs="Arial"/>
                <w:sz w:val="14"/>
                <w:szCs w:val="14"/>
              </w:rPr>
            </w:pPr>
            <w:r>
              <w:rPr>
                <w:rFonts w:cs="Arial" w:ascii="Arial" w:hAnsi="Arial"/>
                <w:sz w:val="14"/>
                <w:szCs w:val="14"/>
              </w:rPr>
              <w:t>Elle ne répond pas, mais elle respire</w:t>
            </w:r>
          </w:p>
          <w:p>
            <w:pPr>
              <w:pStyle w:val="Normal"/>
              <w:spacing w:before="120" w:after="0"/>
              <w:jc w:val="both"/>
              <w:rPr>
                <w:rFonts w:ascii="Arial" w:hAnsi="Arial" w:cs="Arial"/>
                <w:b/>
                <w:b/>
                <w:bCs/>
                <w:sz w:val="14"/>
                <w:szCs w:val="14"/>
              </w:rPr>
            </w:pPr>
            <w:r>
              <w:rPr>
                <w:rFonts w:cs="Arial" w:ascii="Arial" w:hAnsi="Arial"/>
                <w:b/>
                <w:bCs/>
                <w:sz w:val="14"/>
                <w:szCs w:val="14"/>
              </w:rPr>
              <w:t>Moyens pédagogiques basés sur le référentiel de l’INRS :</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Support pédagogique INRS utilisation du PISST (Plan d’intervention) + le PAP (Plan d’actions prévention) et outils de simulation.</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Mannequins d’exercice (nourrisson, enfant, adulte) / Maquette de tête articulée.</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 xml:space="preserve">Défibrillateur de formation de type DAE. </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Power point + accessoire pour cas concret</w:t>
            </w:r>
          </w:p>
          <w:p>
            <w:pPr>
              <w:pStyle w:val="Normal"/>
              <w:numPr>
                <w:ilvl w:val="0"/>
                <w:numId w:val="1"/>
              </w:numPr>
              <w:tabs>
                <w:tab w:val="left" w:pos="289" w:leader="none"/>
              </w:tabs>
              <w:spacing w:before="40" w:after="0"/>
              <w:ind w:left="290" w:hanging="284"/>
              <w:jc w:val="both"/>
              <w:rPr>
                <w:rFonts w:ascii="Arial" w:hAnsi="Arial" w:cs="Arial"/>
                <w:sz w:val="14"/>
                <w:szCs w:val="14"/>
              </w:rPr>
            </w:pPr>
            <w:r>
              <w:rPr>
                <w:rFonts w:cs="Arial" w:ascii="Arial" w:hAnsi="Arial"/>
                <w:sz w:val="14"/>
                <w:szCs w:val="14"/>
              </w:rPr>
              <w:t>Dans un souci d’hygiène, les peaux de visage sont individuelles</w:t>
            </w:r>
          </w:p>
          <w:p>
            <w:pPr>
              <w:pStyle w:val="Odd"/>
              <w:suppressAutoHyphens w:val="true"/>
              <w:spacing w:beforeAutospacing="0" w:before="200" w:afterAutospacing="0" w:after="0"/>
              <w:jc w:val="both"/>
              <w:rPr>
                <w:rFonts w:ascii="Arial" w:hAnsi="Arial" w:cs="Arial"/>
                <w:bCs/>
                <w:sz w:val="14"/>
                <w:szCs w:val="14"/>
              </w:rPr>
            </w:pPr>
            <w:r>
              <w:rPr>
                <w:rFonts w:cs="Arial" w:ascii="Arial" w:hAnsi="Arial"/>
                <w:b/>
                <w:bCs/>
                <w:sz w:val="14"/>
                <w:szCs w:val="14"/>
              </w:rPr>
              <w:t xml:space="preserve">Supports remis aux participants : </w:t>
            </w:r>
            <w:r>
              <w:rPr>
                <w:rFonts w:cs="Arial" w:ascii="Arial" w:hAnsi="Arial"/>
                <w:sz w:val="14"/>
                <w:szCs w:val="14"/>
              </w:rPr>
              <w:t>Remise d’une documentation complète et ciblée véritable aide- mémoire de la formation. (</w:t>
            </w:r>
            <w:r>
              <w:rPr>
                <w:rFonts w:cs="Arial" w:ascii="Arial" w:hAnsi="Arial"/>
                <w:bCs/>
                <w:sz w:val="14"/>
                <w:szCs w:val="14"/>
              </w:rPr>
              <w:t>Livret SST, MEMO FORMA)</w:t>
            </w:r>
          </w:p>
          <w:p>
            <w:pPr>
              <w:pStyle w:val="Normal"/>
              <w:jc w:val="both"/>
              <w:rPr>
                <w:rFonts w:ascii="Arial" w:hAnsi="Arial" w:cs="Arial"/>
                <w:sz w:val="14"/>
                <w:szCs w:val="14"/>
              </w:rPr>
            </w:pPr>
            <w:r>
              <w:rPr>
                <w:rFonts w:cs="Arial" w:ascii="Arial" w:hAnsi="Arial"/>
                <w:sz w:val="14"/>
                <w:szCs w:val="14"/>
              </w:rPr>
            </w:r>
          </w:p>
          <w:p>
            <w:pPr>
              <w:pStyle w:val="Normal"/>
              <w:jc w:val="both"/>
              <w:rPr>
                <w:rFonts w:ascii="Arial" w:hAnsi="Arial" w:cs="Arial"/>
                <w:sz w:val="14"/>
                <w:szCs w:val="14"/>
              </w:rPr>
            </w:pPr>
            <w:r>
              <w:rPr>
                <w:rFonts w:cs="Arial" w:ascii="Arial" w:hAnsi="Arial"/>
                <w:b/>
                <w:bCs/>
                <w:sz w:val="14"/>
                <w:szCs w:val="14"/>
              </w:rPr>
              <w:t xml:space="preserve">Méthodes d’évaluation : </w:t>
            </w:r>
            <w:r>
              <w:rPr>
                <w:rFonts w:cs="Arial" w:ascii="Arial" w:hAnsi="Arial"/>
                <w:sz w:val="14"/>
                <w:szCs w:val="14"/>
              </w:rPr>
              <w:t>Evaluations formatives, et épreuves certificatives.</w:t>
            </w:r>
          </w:p>
          <w:p>
            <w:pPr>
              <w:pStyle w:val="Normal"/>
              <w:spacing w:before="200" w:after="0"/>
              <w:jc w:val="both"/>
              <w:rPr>
                <w:rFonts w:ascii="Arial" w:hAnsi="Arial" w:eastAsia="Calibri" w:cs="Arial"/>
                <w:sz w:val="14"/>
                <w:szCs w:val="14"/>
                <w:lang w:eastAsia="en-US"/>
              </w:rPr>
            </w:pPr>
            <w:r>
              <w:rPr>
                <w:rFonts w:cs="Arial" w:ascii="Arial" w:hAnsi="Arial"/>
                <w:b/>
                <w:bCs/>
                <w:sz w:val="14"/>
                <w:szCs w:val="14"/>
              </w:rPr>
              <w:t>Validation :</w:t>
            </w:r>
            <w:r>
              <w:rPr>
                <w:rFonts w:cs="Arial" w:ascii="Arial" w:hAnsi="Arial"/>
                <w:sz w:val="14"/>
                <w:szCs w:val="14"/>
              </w:rPr>
              <w:t> </w:t>
            </w:r>
            <w:r>
              <w:rPr>
                <w:rFonts w:eastAsia="Calibri" w:cs="Arial" w:ascii="Arial" w:hAnsi="Arial"/>
                <w:sz w:val="14"/>
                <w:szCs w:val="14"/>
                <w:lang w:eastAsia="en-US"/>
              </w:rPr>
              <w:t>Certificat de Sauveteur Secouriste certifié par l’INRS pour une durée de 24 mois de la date de délivrance du certificat.</w:t>
            </w:r>
          </w:p>
          <w:p>
            <w:pPr>
              <w:pStyle w:val="Entte"/>
              <w:tabs>
                <w:tab w:val="left" w:pos="708" w:leader="none"/>
                <w:tab w:val="center" w:pos="4536" w:leader="none"/>
                <w:tab w:val="right" w:pos="9072" w:leader="none"/>
              </w:tabs>
              <w:spacing w:before="200" w:after="0"/>
              <w:jc w:val="both"/>
              <w:rPr>
                <w:rFonts w:ascii="Arial" w:hAnsi="Arial" w:cs="Arial"/>
                <w:sz w:val="14"/>
                <w:szCs w:val="14"/>
              </w:rPr>
            </w:pPr>
            <w:r>
              <w:rPr>
                <w:rFonts w:cs="Arial" w:ascii="Arial" w:hAnsi="Arial"/>
                <w:b/>
                <w:bCs/>
                <w:sz w:val="14"/>
                <w:szCs w:val="14"/>
              </w:rPr>
              <w:t xml:space="preserve">Formalisation à l’issue de la formation : </w:t>
            </w:r>
            <w:r>
              <w:rPr>
                <w:rFonts w:cs="Arial" w:ascii="Arial" w:hAnsi="Arial"/>
                <w:sz w:val="14"/>
                <w:szCs w:val="14"/>
              </w:rPr>
              <w:t xml:space="preserve">Un certificat </w:t>
            </w:r>
            <w:r>
              <w:rPr>
                <w:rFonts w:cs="Arial" w:ascii="Arial" w:hAnsi="Arial"/>
                <w:bCs/>
                <w:sz w:val="14"/>
                <w:szCs w:val="14"/>
              </w:rPr>
              <w:t>de réalisation.</w:t>
            </w:r>
          </w:p>
          <w:p>
            <w:pPr>
              <w:pStyle w:val="Entte"/>
              <w:tabs>
                <w:tab w:val="left" w:pos="708" w:leader="none"/>
                <w:tab w:val="center" w:pos="4536" w:leader="none"/>
                <w:tab w:val="right" w:pos="9072" w:leader="none"/>
              </w:tabs>
              <w:spacing w:before="200" w:after="0"/>
              <w:jc w:val="both"/>
              <w:rPr>
                <w:rFonts w:ascii="Arial" w:hAnsi="Arial" w:cs="Arial"/>
                <w:sz w:val="14"/>
                <w:szCs w:val="14"/>
              </w:rPr>
            </w:pPr>
            <w:r>
              <w:rPr>
                <w:rFonts w:cs="Arial" w:ascii="Arial" w:hAnsi="Arial"/>
                <w:b/>
                <w:bCs/>
                <w:sz w:val="14"/>
                <w:szCs w:val="14"/>
              </w:rPr>
              <w:t>Résultats Obtenus en 2021 :</w:t>
            </w:r>
            <w:r>
              <w:rPr>
                <w:rFonts w:cs="Arial" w:ascii="Arial" w:hAnsi="Arial"/>
                <w:sz w:val="14"/>
                <w:szCs w:val="14"/>
              </w:rPr>
              <w:t> Le niveau de performance et d’accomplissement de la prestation est de 90.20%.</w:t>
            </w:r>
          </w:p>
          <w:p>
            <w:pPr>
              <w:pStyle w:val="Normal"/>
              <w:spacing w:lineRule="auto" w:line="276"/>
              <w:jc w:val="both"/>
              <w:rPr>
                <w:rFonts w:ascii="Arial" w:hAnsi="Arial" w:cs="Arial"/>
                <w:sz w:val="16"/>
                <w:szCs w:val="16"/>
              </w:rPr>
            </w:pPr>
            <w:r>
              <w:rPr>
                <w:rFonts w:cs="Arial" w:ascii="Arial" w:hAnsi="Arial"/>
                <w:sz w:val="16"/>
                <w:szCs w:val="16"/>
              </w:rPr>
            </w:r>
          </w:p>
        </w:tc>
      </w:tr>
      <w:tr>
        <w:trPr>
          <w:trHeight w:val="1010" w:hRule="atLeast"/>
        </w:trPr>
        <w:tc>
          <w:tcPr>
            <w:tcW w:w="3119" w:type="dxa"/>
            <w:tcBorders/>
            <w:shd w:color="auto" w:fill="CCFFCC" w:val="clear"/>
            <w:tcMar>
              <w:left w:w="108" w:type="dxa"/>
            </w:tcMar>
          </w:tcPr>
          <w:p>
            <w:pPr>
              <w:pStyle w:val="Normal"/>
              <w:spacing w:before="80" w:after="0"/>
              <w:rPr>
                <w:rFonts w:ascii="Arial" w:hAnsi="Arial" w:cs="Arial"/>
                <w:sz w:val="14"/>
                <w:szCs w:val="14"/>
              </w:rPr>
            </w:pPr>
            <w:r>
              <w:rPr>
                <w:rFonts w:cs="Arial" w:ascii="Arial" w:hAnsi="Arial"/>
                <w:b/>
                <w:bCs/>
                <w:sz w:val="18"/>
                <w:szCs w:val="18"/>
              </w:rPr>
              <w:t>Public :</w:t>
            </w:r>
            <w:r>
              <w:rPr>
                <w:rFonts w:cs="Arial" w:ascii="Arial" w:hAnsi="Arial"/>
                <w:b/>
                <w:bCs/>
                <w:sz w:val="14"/>
                <w:szCs w:val="14"/>
              </w:rPr>
              <w:t xml:space="preserve"> </w:t>
            </w:r>
            <w:r>
              <w:rPr>
                <w:rFonts w:cs="Arial" w:ascii="Arial" w:hAnsi="Arial"/>
                <w:sz w:val="16"/>
                <w:szCs w:val="16"/>
              </w:rPr>
              <w:t>Toute personne qui, dans le cadre de son activité professionnelle doit exercer la mission de Sauveteur Secouriste du Travail (SST).</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548" w:hRule="atLeast"/>
        </w:trPr>
        <w:tc>
          <w:tcPr>
            <w:tcW w:w="3119" w:type="dxa"/>
            <w:tcBorders/>
            <w:shd w:color="auto" w:fill="CCFFCC" w:val="clear"/>
            <w:tcMar>
              <w:left w:w="108" w:type="dxa"/>
            </w:tcMar>
          </w:tcPr>
          <w:p>
            <w:pPr>
              <w:pStyle w:val="Normal"/>
              <w:spacing w:before="60" w:after="0"/>
              <w:rPr>
                <w:rFonts w:ascii="Arial" w:hAnsi="Arial" w:eastAsia="Calibri" w:cs="Arial"/>
                <w:sz w:val="16"/>
                <w:szCs w:val="16"/>
                <w:lang w:eastAsia="en-US"/>
              </w:rPr>
            </w:pPr>
            <w:r>
              <w:rPr>
                <w:rFonts w:cs="Arial" w:ascii="Arial" w:hAnsi="Arial"/>
                <w:b/>
                <w:sz w:val="18"/>
                <w:szCs w:val="18"/>
              </w:rPr>
              <w:t>Pré-requis :</w:t>
            </w:r>
            <w:r>
              <w:rPr>
                <w:rFonts w:cs="Arial" w:ascii="Arial" w:hAnsi="Arial"/>
                <w:b/>
                <w:sz w:val="14"/>
                <w:szCs w:val="14"/>
              </w:rPr>
              <w:t xml:space="preserve"> </w:t>
            </w:r>
            <w:r>
              <w:rPr>
                <w:rFonts w:eastAsia="Calibri" w:cs="Arial" w:ascii="Arial" w:hAnsi="Arial"/>
                <w:sz w:val="16"/>
                <w:szCs w:val="16"/>
                <w:lang w:eastAsia="en-US"/>
              </w:rPr>
              <w:t>Maîtrise orale de la langue française.</w:t>
            </w:r>
          </w:p>
          <w:p>
            <w:pPr>
              <w:pStyle w:val="Normal"/>
              <w:spacing w:before="20" w:after="0"/>
              <w:rPr>
                <w:rFonts w:ascii="Arial" w:hAnsi="Arial" w:cs="Arial"/>
                <w:sz w:val="16"/>
                <w:szCs w:val="16"/>
                <w:lang w:eastAsia="zh-CN"/>
              </w:rPr>
            </w:pPr>
            <w:r>
              <w:rPr>
                <w:rFonts w:eastAsia="Calibri" w:cs="Arial" w:ascii="Arial" w:hAnsi="Arial"/>
                <w:sz w:val="16"/>
                <w:szCs w:val="16"/>
                <w:lang w:eastAsia="en-US"/>
              </w:rPr>
              <w:t>Etre capable physiquement de mettre en œuvre les techniques gestuelles adaptées.</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547" w:hRule="atLeast"/>
        </w:trPr>
        <w:tc>
          <w:tcPr>
            <w:tcW w:w="3119" w:type="dxa"/>
            <w:tcBorders/>
            <w:shd w:color="auto" w:fill="CCFFCC" w:val="clear"/>
            <w:tcMar>
              <w:left w:w="108" w:type="dxa"/>
            </w:tcMar>
          </w:tcPr>
          <w:p>
            <w:pPr>
              <w:pStyle w:val="Normal"/>
              <w:spacing w:before="60" w:after="0"/>
              <w:rPr>
                <w:rFonts w:ascii="Arial" w:hAnsi="Arial" w:cs="Arial"/>
                <w:b/>
                <w:b/>
                <w:sz w:val="18"/>
                <w:szCs w:val="18"/>
              </w:rPr>
            </w:pPr>
            <w:r>
              <w:rPr>
                <w:rFonts w:cs="Arial" w:ascii="Arial" w:hAnsi="Arial"/>
                <w:b/>
                <w:bCs/>
                <w:color w:val="000000" w:themeColor="text1"/>
                <w:sz w:val="16"/>
                <w:szCs w:val="16"/>
              </w:rPr>
              <w:t>Méthodes pédagogiques :</w:t>
              <w:br/>
            </w:r>
            <w:r>
              <w:rPr>
                <w:rFonts w:cs="Arial" w:ascii="Arial" w:hAnsi="Arial"/>
                <w:color w:val="000000" w:themeColor="text1"/>
                <w:sz w:val="16"/>
                <w:szCs w:val="16"/>
              </w:rPr>
              <w:t>Méthode essentiellement active basée sur la participation des apprenants. Pédagogie alternant les apports théoriques et les mises en situation pratiques pour un maximum d’efficacité.</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414" w:hRule="atLeast"/>
        </w:trPr>
        <w:tc>
          <w:tcPr>
            <w:tcW w:w="3119" w:type="dxa"/>
            <w:tcBorders/>
            <w:shd w:color="auto" w:fill="CCFFCC" w:val="clear"/>
            <w:tcMar>
              <w:left w:w="108" w:type="dxa"/>
            </w:tcMar>
          </w:tcPr>
          <w:p>
            <w:pPr>
              <w:pStyle w:val="Normal"/>
              <w:spacing w:before="80" w:after="0"/>
              <w:rPr>
                <w:rFonts w:ascii="Arial" w:hAnsi="Arial" w:cs="Arial"/>
                <w:sz w:val="14"/>
                <w:szCs w:val="14"/>
              </w:rPr>
            </w:pPr>
            <w:r>
              <w:rPr>
                <w:rFonts w:cs="Arial" w:ascii="Arial" w:hAnsi="Arial"/>
                <w:b/>
                <w:bCs/>
                <w:sz w:val="18"/>
                <w:szCs w:val="18"/>
              </w:rPr>
              <w:t>Compétences</w:t>
            </w:r>
            <w:r>
              <w:rPr>
                <w:rFonts w:cs="Arial" w:ascii="Arial" w:hAnsi="Arial"/>
                <w:sz w:val="18"/>
                <w:szCs w:val="18"/>
              </w:rPr>
              <w:t> :</w:t>
            </w:r>
            <w:r>
              <w:rPr>
                <w:rFonts w:cs="Arial" w:ascii="Arial" w:hAnsi="Arial"/>
                <w:sz w:val="14"/>
                <w:szCs w:val="14"/>
              </w:rPr>
              <w:t xml:space="preserve"> </w:t>
            </w:r>
            <w:r>
              <w:rPr>
                <w:rFonts w:cs="Arial" w:ascii="Arial" w:hAnsi="Arial"/>
                <w:sz w:val="16"/>
                <w:szCs w:val="16"/>
              </w:rPr>
              <w:t xml:space="preserve">Des intervenants qualifiés et certifiés, aux compétences techniques et pédagogiques </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350" w:hRule="atLeast"/>
        </w:trPr>
        <w:tc>
          <w:tcPr>
            <w:tcW w:w="3119" w:type="dxa"/>
            <w:tcBorders/>
            <w:shd w:color="auto" w:fill="CCFFCC" w:val="clear"/>
            <w:tcMar>
              <w:left w:w="108" w:type="dxa"/>
            </w:tcMar>
          </w:tcPr>
          <w:p>
            <w:pPr>
              <w:pStyle w:val="ListParagraph"/>
              <w:tabs>
                <w:tab w:val="left" w:pos="284" w:leader="none"/>
              </w:tabs>
              <w:spacing w:before="80" w:after="0"/>
              <w:ind w:left="0" w:hanging="0"/>
              <w:jc w:val="both"/>
              <w:rPr>
                <w:rFonts w:ascii="Arial" w:hAnsi="Arial" w:cs="Arial"/>
                <w:sz w:val="14"/>
                <w:szCs w:val="14"/>
              </w:rPr>
            </w:pPr>
            <w:r>
              <w:rPr>
                <w:rFonts w:cs="Arial" w:ascii="Arial" w:hAnsi="Arial"/>
                <w:b/>
                <w:bCs/>
                <w:sz w:val="18"/>
                <w:szCs w:val="18"/>
              </w:rPr>
              <w:t>Durée :</w:t>
            </w:r>
            <w:r>
              <w:rPr>
                <w:rFonts w:cs="Arial" w:ascii="Arial" w:hAnsi="Arial"/>
                <w:b/>
                <w:bCs/>
                <w:sz w:val="14"/>
                <w:szCs w:val="14"/>
              </w:rPr>
              <w:t xml:space="preserve"> </w:t>
            </w:r>
            <w:r>
              <w:rPr>
                <w:rFonts w:cs="Arial" w:ascii="Arial" w:hAnsi="Arial"/>
                <w:b/>
                <w:bCs/>
                <w:sz w:val="16"/>
                <w:szCs w:val="16"/>
              </w:rPr>
              <w:t>2 jours (soit 14 heures)</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557" w:hRule="atLeast"/>
        </w:trPr>
        <w:tc>
          <w:tcPr>
            <w:tcW w:w="3119" w:type="dxa"/>
            <w:tcBorders/>
            <w:shd w:color="auto" w:fill="CCFFCC" w:val="clear"/>
            <w:tcMar>
              <w:left w:w="108" w:type="dxa"/>
            </w:tcMar>
          </w:tcPr>
          <w:p>
            <w:pPr>
              <w:pStyle w:val="Normal"/>
              <w:spacing w:before="80" w:after="0"/>
              <w:jc w:val="both"/>
              <w:rPr>
                <w:rFonts w:ascii="Arial" w:hAnsi="Arial" w:cs="Arial"/>
                <w:sz w:val="14"/>
                <w:szCs w:val="14"/>
              </w:rPr>
            </w:pPr>
            <w:r>
              <w:rPr>
                <w:rFonts w:cs="Arial" w:ascii="Arial" w:hAnsi="Arial"/>
                <w:b/>
                <w:bCs/>
                <w:sz w:val="18"/>
                <w:szCs w:val="18"/>
              </w:rPr>
              <w:t>Délai d’accès :</w:t>
            </w:r>
            <w:r>
              <w:rPr>
                <w:rFonts w:cs="Arial" w:ascii="Arial" w:hAnsi="Arial"/>
                <w:b/>
                <w:bCs/>
                <w:sz w:val="14"/>
                <w:szCs w:val="14"/>
              </w:rPr>
              <w:t xml:space="preserve"> </w:t>
            </w:r>
            <w:r>
              <w:rPr>
                <w:rFonts w:cs="Arial" w:ascii="Arial" w:hAnsi="Arial"/>
                <w:sz w:val="16"/>
                <w:szCs w:val="16"/>
              </w:rPr>
              <w:t>Délai d’accès sous dix jours.</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991" w:hRule="atLeast"/>
        </w:trPr>
        <w:tc>
          <w:tcPr>
            <w:tcW w:w="3119" w:type="dxa"/>
            <w:tcBorders/>
            <w:shd w:color="auto" w:fill="CCFFCC" w:val="clear"/>
            <w:tcMar>
              <w:left w:w="108" w:type="dxa"/>
            </w:tcMar>
          </w:tcPr>
          <w:p>
            <w:pPr>
              <w:pStyle w:val="Normal"/>
              <w:spacing w:before="80" w:after="0"/>
              <w:rPr>
                <w:rFonts w:ascii="Arial" w:hAnsi="Arial" w:cs="Arial"/>
                <w:b/>
                <w:b/>
                <w:bCs/>
                <w:sz w:val="14"/>
                <w:szCs w:val="14"/>
              </w:rPr>
            </w:pPr>
            <w:r>
              <w:rPr>
                <w:rFonts w:cs="Arial" w:ascii="Arial" w:hAnsi="Arial"/>
                <w:b/>
                <w:bCs/>
                <w:sz w:val="18"/>
                <w:szCs w:val="18"/>
              </w:rPr>
              <w:t>Infrastructures et moyens matériels :</w:t>
            </w:r>
            <w:r>
              <w:rPr>
                <w:rFonts w:cs="Arial" w:ascii="Arial" w:hAnsi="Arial"/>
                <w:b/>
                <w:bCs/>
                <w:sz w:val="14"/>
                <w:szCs w:val="14"/>
              </w:rPr>
              <w:t xml:space="preserve"> </w:t>
            </w:r>
            <w:r>
              <w:rPr>
                <w:rFonts w:cs="Arial" w:ascii="Arial" w:hAnsi="Arial"/>
                <w:sz w:val="16"/>
                <w:szCs w:val="16"/>
              </w:rPr>
              <w:t>Infrastructures et des moyens matériels permettant les conditions réelles de travail.</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977" w:hRule="atLeast"/>
        </w:trPr>
        <w:tc>
          <w:tcPr>
            <w:tcW w:w="3119" w:type="dxa"/>
            <w:tcBorders/>
            <w:shd w:color="auto" w:fill="CCFFCC" w:val="clear"/>
            <w:tcMar>
              <w:left w:w="108" w:type="dxa"/>
            </w:tcMar>
          </w:tcPr>
          <w:p>
            <w:pPr>
              <w:pStyle w:val="Normal"/>
              <w:spacing w:before="80" w:after="0"/>
              <w:jc w:val="both"/>
              <w:rPr>
                <w:rFonts w:ascii="Arial" w:hAnsi="Arial" w:cs="Arial"/>
                <w:b/>
                <w:b/>
                <w:bCs/>
                <w:sz w:val="14"/>
                <w:szCs w:val="14"/>
              </w:rPr>
            </w:pPr>
            <w:r>
              <w:rPr>
                <w:rFonts w:cs="Arial" w:ascii="Arial" w:hAnsi="Arial"/>
                <w:b/>
                <w:bCs/>
                <w:sz w:val="18"/>
                <w:szCs w:val="18"/>
              </w:rPr>
              <w:t>Accessibilité :</w:t>
            </w:r>
            <w:r>
              <w:rPr>
                <w:rFonts w:cs="Arial" w:ascii="Arial" w:hAnsi="Arial"/>
                <w:b/>
                <w:bCs/>
                <w:sz w:val="14"/>
                <w:szCs w:val="14"/>
              </w:rPr>
              <w:t xml:space="preserve"> </w:t>
            </w:r>
            <w:r>
              <w:rPr>
                <w:rFonts w:cs="Arial" w:ascii="Arial" w:hAnsi="Arial"/>
                <w:sz w:val="16"/>
                <w:szCs w:val="16"/>
              </w:rPr>
              <w:t>Conditions d’accueil et d’accès des publics en situation de handicap, locaux adaptés pour les personnes malentendantes.</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919" w:hRule="atLeast"/>
        </w:trPr>
        <w:tc>
          <w:tcPr>
            <w:tcW w:w="3119" w:type="dxa"/>
            <w:tcBorders/>
            <w:shd w:color="auto" w:fill="CCFFCC" w:val="clear"/>
            <w:tcMar>
              <w:left w:w="108" w:type="dxa"/>
            </w:tcMar>
          </w:tcPr>
          <w:p>
            <w:pPr>
              <w:pStyle w:val="Normal"/>
              <w:spacing w:before="60" w:after="0"/>
              <w:rPr>
                <w:rFonts w:ascii="Arial" w:hAnsi="Arial" w:cs="Arial"/>
                <w:b/>
                <w:b/>
                <w:bCs/>
                <w:sz w:val="14"/>
                <w:szCs w:val="14"/>
              </w:rPr>
            </w:pPr>
            <w:r>
              <w:rPr>
                <w:rFonts w:cs="Arial" w:ascii="Arial" w:hAnsi="Arial"/>
                <w:b/>
                <w:bCs/>
                <w:sz w:val="18"/>
                <w:szCs w:val="18"/>
              </w:rPr>
              <w:t>Nombre minimum et maximum de stagiaires par session :</w:t>
            </w:r>
            <w:r>
              <w:rPr>
                <w:rFonts w:cs="Arial" w:ascii="Arial" w:hAnsi="Arial"/>
                <w:b/>
                <w:bCs/>
                <w:sz w:val="14"/>
                <w:szCs w:val="14"/>
              </w:rPr>
              <w:t xml:space="preserve"> </w:t>
            </w:r>
          </w:p>
          <w:p>
            <w:pPr>
              <w:pStyle w:val="Normal"/>
              <w:spacing w:before="60" w:after="0"/>
              <w:rPr>
                <w:rFonts w:ascii="Arial" w:hAnsi="Arial" w:cs="Arial"/>
                <w:b/>
                <w:b/>
                <w:bCs/>
                <w:sz w:val="14"/>
                <w:szCs w:val="14"/>
                <w:lang w:eastAsia="zh-CN"/>
              </w:rPr>
            </w:pPr>
            <w:r>
              <w:rPr>
                <w:rFonts w:eastAsia="Calibri" w:cs="Arial" w:ascii="Arial" w:hAnsi="Arial"/>
                <w:sz w:val="16"/>
                <w:szCs w:val="16"/>
                <w:lang w:eastAsia="en-US"/>
              </w:rPr>
              <w:t>de 4 personnes minimum à 10 personnes maximum</w:t>
            </w:r>
          </w:p>
        </w:tc>
        <w:tc>
          <w:tcPr>
            <w:tcW w:w="7654" w:type="dxa"/>
            <w:vMerge w:val="continue"/>
            <w:tcBorders/>
            <w:shd w:fill="auto" w:val="clear"/>
            <w:tcMar>
              <w:left w:w="108" w:type="dxa"/>
            </w:tcMar>
          </w:tcPr>
          <w:p>
            <w:pPr>
              <w:pStyle w:val="Normal"/>
              <w:rPr>
                <w:rFonts w:ascii="Arial" w:hAnsi="Arial" w:cs="Arial"/>
                <w:sz w:val="20"/>
                <w:szCs w:val="20"/>
              </w:rPr>
            </w:pPr>
            <w:r>
              <w:rPr>
                <w:rFonts w:cs="Arial" w:ascii="Arial" w:hAnsi="Arial"/>
                <w:sz w:val="20"/>
                <w:szCs w:val="20"/>
              </w:rPr>
            </w:r>
          </w:p>
        </w:tc>
      </w:tr>
      <w:tr>
        <w:trPr>
          <w:trHeight w:val="1272" w:hRule="atLeast"/>
        </w:trPr>
        <w:tc>
          <w:tcPr>
            <w:tcW w:w="3119" w:type="dxa"/>
            <w:tcBorders/>
            <w:shd w:color="auto" w:fill="CCFFCC" w:val="clear"/>
            <w:tcMar>
              <w:left w:w="108" w:type="dxa"/>
            </w:tcMar>
          </w:tcPr>
          <w:p>
            <w:pPr>
              <w:pStyle w:val="Normal"/>
              <w:spacing w:before="60" w:after="0"/>
              <w:jc w:val="both"/>
              <w:rPr>
                <w:rFonts w:ascii="Arial" w:hAnsi="Arial" w:cs="Arial"/>
                <w:b/>
                <w:b/>
                <w:bCs/>
                <w:sz w:val="18"/>
                <w:szCs w:val="18"/>
              </w:rPr>
            </w:pPr>
            <w:r>
              <w:rPr>
                <w:rFonts w:cs="Arial" w:ascii="Arial" w:hAnsi="Arial"/>
                <w:b/>
                <w:bCs/>
                <w:sz w:val="16"/>
                <w:szCs w:val="16"/>
              </w:rPr>
              <w:t xml:space="preserve">Tarifs : </w:t>
            </w:r>
            <w:r>
              <w:rPr>
                <w:rFonts w:cs="Arial" w:ascii="Arial" w:hAnsi="Arial"/>
                <w:sz w:val="16"/>
                <w:szCs w:val="16"/>
              </w:rPr>
              <w:t>Voir le devis et les conditions générales de vente.</w:t>
            </w:r>
          </w:p>
        </w:tc>
        <w:tc>
          <w:tcPr>
            <w:tcW w:w="7654" w:type="dxa"/>
            <w:vMerge w:val="continue"/>
            <w:tcBorders/>
            <w:shd w:fill="auto" w:val="clear"/>
            <w:tcMar>
              <w:left w:w="108" w:type="dxa"/>
            </w:tcMar>
          </w:tcPr>
          <w:p>
            <w:pPr>
              <w:pStyle w:val="Normal"/>
              <w:rPr>
                <w:rFonts w:ascii="Arial" w:hAnsi="Arial" w:cs="Arial"/>
                <w:sz w:val="20"/>
                <w:szCs w:val="20"/>
              </w:rPr>
            </w:pPr>
            <w:bookmarkStart w:id="2" w:name="_Hlk64298288"/>
            <w:bookmarkStart w:id="3" w:name="_Hlk64298288"/>
            <w:bookmarkEnd w:id="3"/>
            <w:r>
              <w:rPr>
                <w:rFonts w:cs="Arial" w:ascii="Arial" w:hAnsi="Arial"/>
                <w:sz w:val="20"/>
                <w:szCs w:val="20"/>
              </w:rPr>
            </w:r>
          </w:p>
        </w:tc>
      </w:tr>
    </w:tbl>
    <w:p>
      <w:pPr>
        <w:pStyle w:val="Normal"/>
        <w:pBdr/>
        <w:rPr/>
      </w:pPr>
      <w:r>
        <w:rPr/>
      </w:r>
    </w:p>
    <w:sectPr>
      <w:footerReference w:type="default" r:id="rId4"/>
      <w:type w:val="nextPage"/>
      <w:pgSz w:w="11906" w:h="16838"/>
      <w:pgMar w:left="1417" w:right="1417" w:header="0" w:top="900" w:footer="708" w:bottom="765"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omic Sans MS">
    <w:charset w:val="00"/>
    <w:family w:val="roman"/>
    <w:pitch w:val="variable"/>
  </w:font>
  <w:font w:name="Tahom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07311721"/>
    </w:sdtPr>
    <w:sdtContent>
      <w:p>
        <w:pPr>
          <w:pStyle w:val="Pieddepage"/>
          <w:rPr/>
        </w:pPr>
        <w:r>
          <w:rPr/>
          <w:t xml:space="preserve">Page </w:t>
        </w:r>
        <w:r>
          <w:rPr>
            <w:b/>
            <w:bCs/>
          </w:rPr>
          <w:fldChar w:fldCharType="begin"/>
        </w:r>
        <w:r>
          <w:instrText> PAGE </w:instrText>
        </w:r>
        <w:r>
          <w:fldChar w:fldCharType="separate"/>
        </w:r>
        <w:r>
          <w:t>1</w:t>
        </w:r>
        <w:r>
          <w:fldChar w:fldCharType="end"/>
        </w:r>
        <w:r>
          <w:rPr/>
          <w:t xml:space="preserve"> sur </w:t>
        </w:r>
        <w:r>
          <w:rPr>
            <w:b/>
            <w:bCs/>
          </w:rPr>
          <w:fldChar w:fldCharType="begin"/>
        </w:r>
        <w:r>
          <w:instrText> NUMPAGES </w:instrText>
        </w:r>
        <w:r>
          <w:fldChar w:fldCharType="separate"/>
        </w:r>
        <w:r>
          <w:t>1</w:t>
        </w:r>
        <w: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4"/>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5" w:hanging="360"/>
      </w:pPr>
      <w:rPr>
        <w:rFonts w:ascii="Wingdings" w:hAnsi="Wingdings" w:cs="Wingdings" w:hint="default"/>
      </w:rPr>
    </w:lvl>
    <w:lvl w:ilvl="1">
      <w:start w:val="1"/>
      <w:numFmt w:val="bullet"/>
      <w:lvlText w:val="o"/>
      <w:lvlJc w:val="left"/>
      <w:pPr>
        <w:ind w:left="1445" w:hanging="360"/>
      </w:pPr>
      <w:rPr>
        <w:rFonts w:ascii="Courier New" w:hAnsi="Courier New" w:cs="Courier New" w:hint="default"/>
        <w:rFonts w:cs="Courier New"/>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Fonts w:cs="Courier New"/>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Fonts w:cs="Courier New"/>
      </w:rPr>
    </w:lvl>
    <w:lvl w:ilvl="8">
      <w:start w:val="1"/>
      <w:numFmt w:val="bullet"/>
      <w:lvlText w:val=""/>
      <w:lvlJc w:val="left"/>
      <w:pPr>
        <w:ind w:left="6485"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fr-FR" w:eastAsia="fr-FR" w:bidi="ar-SA"/>
    </w:rPr>
  </w:style>
  <w:style w:type="paragraph" w:styleId="Titre1">
    <w:name w:val="Heading 1"/>
    <w:basedOn w:val="Normal"/>
    <w:next w:val="Normal"/>
    <w:link w:val="Titre1Car"/>
    <w:qFormat/>
    <w:pPr>
      <w:keepNext/>
      <w:jc w:val="center"/>
      <w:outlineLvl w:val="0"/>
    </w:pPr>
    <w:rPr>
      <w:b/>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rsid w:val="00166c3a"/>
    <w:rPr>
      <w:color w:val="0000FF"/>
      <w:u w:val="single"/>
    </w:rPr>
  </w:style>
  <w:style w:type="character" w:styleId="EntteCar" w:customStyle="1">
    <w:name w:val="En-tête Car"/>
    <w:link w:val="En-tte"/>
    <w:qFormat/>
    <w:rsid w:val="00f65f91"/>
    <w:rPr>
      <w:sz w:val="24"/>
      <w:szCs w:val="24"/>
    </w:rPr>
  </w:style>
  <w:style w:type="character" w:styleId="Titre1Car" w:customStyle="1">
    <w:name w:val="Titre 1 Car"/>
    <w:basedOn w:val="DefaultParagraphFont"/>
    <w:link w:val="Titre1"/>
    <w:qFormat/>
    <w:rsid w:val="007c322e"/>
    <w:rPr>
      <w:b/>
      <w:sz w:val="24"/>
      <w:szCs w:val="24"/>
    </w:rPr>
  </w:style>
  <w:style w:type="character" w:styleId="TitreCar" w:customStyle="1">
    <w:name w:val="Titre Car"/>
    <w:basedOn w:val="DefaultParagraphFont"/>
    <w:link w:val="Titre"/>
    <w:qFormat/>
    <w:rsid w:val="007c322e"/>
    <w:rPr>
      <w:rFonts w:ascii="Arial" w:hAnsi="Arial" w:cs="Arial"/>
      <w:b/>
      <w:sz w:val="24"/>
      <w:u w:val="single"/>
    </w:rPr>
  </w:style>
  <w:style w:type="character" w:styleId="PieddepageCar" w:customStyle="1">
    <w:name w:val="Pied de page Car"/>
    <w:basedOn w:val="DefaultParagraphFont"/>
    <w:link w:val="Pieddepage"/>
    <w:uiPriority w:val="99"/>
    <w:qFormat/>
    <w:rsid w:val="007105e6"/>
    <w:rPr>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ascii="Arial" w:hAnsi="Arial" w:eastAsia="Times New Roman" w:cs="Arial"/>
      <w:sz w:val="14"/>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u w:val="none" w:color="004379"/>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Unicode MS"/>
      <w:sz w:val="28"/>
      <w:szCs w:val="28"/>
    </w:rPr>
  </w:style>
  <w:style w:type="paragraph" w:styleId="Corpsdetexte">
    <w:name w:val="Body Text"/>
    <w:basedOn w:val="Normal"/>
    <w:pPr>
      <w:jc w:val="both"/>
    </w:pPr>
    <w:rPr>
      <w:rFonts w:ascii="Comic Sans MS" w:hAnsi="Comic Sans MS"/>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tte">
    <w:name w:val="Header"/>
    <w:basedOn w:val="Normal"/>
    <w:link w:val="En-tteCar"/>
    <w:pPr>
      <w:tabs>
        <w:tab w:val="center" w:pos="4536" w:leader="none"/>
        <w:tab w:val="right" w:pos="9072" w:leader="none"/>
      </w:tabs>
    </w:pPr>
    <w:rPr/>
  </w:style>
  <w:style w:type="paragraph" w:styleId="Pieddepage">
    <w:name w:val="Footer"/>
    <w:basedOn w:val="Normal"/>
    <w:link w:val="PieddepageCar"/>
    <w:uiPriority w:val="99"/>
    <w:pPr>
      <w:tabs>
        <w:tab w:val="center" w:pos="4536" w:leader="none"/>
        <w:tab w:val="right" w:pos="9072" w:leader="none"/>
      </w:tabs>
    </w:pPr>
    <w:rPr/>
  </w:style>
  <w:style w:type="paragraph" w:styleId="Titreprincipal">
    <w:name w:val="Title"/>
    <w:basedOn w:val="Normal"/>
    <w:link w:val="TitreCar"/>
    <w:qFormat/>
    <w:pPr>
      <w:jc w:val="center"/>
    </w:pPr>
    <w:rPr>
      <w:rFonts w:ascii="Arial" w:hAnsi="Arial" w:cs="Arial"/>
      <w:b/>
      <w:szCs w:val="20"/>
      <w:u w:val="single"/>
    </w:rPr>
  </w:style>
  <w:style w:type="paragraph" w:styleId="BalloonText">
    <w:name w:val="Balloon Text"/>
    <w:basedOn w:val="Normal"/>
    <w:semiHidden/>
    <w:qFormat/>
    <w:rsid w:val="00334f98"/>
    <w:pPr/>
    <w:rPr>
      <w:rFonts w:ascii="Tahoma" w:hAnsi="Tahoma" w:cs="Tahoma"/>
      <w:sz w:val="16"/>
      <w:szCs w:val="16"/>
    </w:rPr>
  </w:style>
  <w:style w:type="paragraph" w:styleId="Odd" w:customStyle="1">
    <w:name w:val="odd"/>
    <w:basedOn w:val="Normal"/>
    <w:qFormat/>
    <w:rsid w:val="0010140f"/>
    <w:pPr>
      <w:spacing w:beforeAutospacing="1" w:afterAutospacing="1"/>
    </w:pPr>
    <w:rPr/>
  </w:style>
  <w:style w:type="paragraph" w:styleId="ListParagraph">
    <w:name w:val="List Paragraph"/>
    <w:basedOn w:val="Normal"/>
    <w:uiPriority w:val="34"/>
    <w:qFormat/>
    <w:rsid w:val="008b2ff8"/>
    <w:pPr>
      <w:spacing w:before="0" w:after="0"/>
      <w:ind w:left="720" w:hanging="0"/>
      <w:contextualSpacing/>
    </w:pPr>
    <w:rPr/>
  </w:style>
  <w:style w:type="paragraph" w:styleId="1Texteinter" w:customStyle="1">
    <w:name w:val="1-Texte inter"/>
    <w:basedOn w:val="Normal"/>
    <w:next w:val="Normal"/>
    <w:qFormat/>
    <w:rsid w:val="00e90499"/>
    <w:pPr>
      <w:spacing w:before="200" w:after="200"/>
      <w:ind w:left="357" w:hanging="0"/>
      <w:jc w:val="both"/>
    </w:pPr>
    <w:rPr>
      <w:rFonts w:ascii="Arial" w:hAnsi="Arial" w:eastAsia="Calibri"/>
      <w:sz w:val="20"/>
      <w:szCs w:val="22"/>
      <w:lang w:eastAsia="en-US"/>
    </w:rPr>
  </w:style>
  <w:style w:type="paragraph" w:styleId="Default" w:customStyle="1">
    <w:name w:val="Default"/>
    <w:qFormat/>
    <w:rsid w:val="00bb623f"/>
    <w:pPr>
      <w:widowControl/>
      <w:bidi w:val="0"/>
      <w:jc w:val="left"/>
    </w:pPr>
    <w:rPr>
      <w:rFonts w:ascii="Calibri" w:hAnsi="Calibri" w:cs="Calibri" w:eastAsia="Times New Roman"/>
      <w:color w:val="000000"/>
      <w:sz w:val="24"/>
      <w:szCs w:val="24"/>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3608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fmdformation@orange.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5837-7882-4F7B-B8AB-9D420A5A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LibreOffice/5.1.6.2$Windows_x86 LibreOffice_project/07ac168c60a517dba0f0d7bc7540f5afa45f0909</Application>
  <Pages>1</Pages>
  <Words>754</Words>
  <CharactersWithSpaces>4149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2022-09-15T08:03:00Z</dcterms:created>
  <dc:creator>annonyme</dc:creator>
  <dc:description/>
  <dc:language>fr-FR</dc:language>
  <cp:lastModifiedBy>melanie</cp:lastModifiedBy>
  <cp:lastPrinted>2022-07-28T09:28:00Z</cp:lastPrinted>
  <dcterms:modified xsi:type="dcterms:W3CDTF">2022-09-15T08:03:00Z</dcterms:modified>
  <cp:revision>2</cp:revision>
  <dc:subject/>
  <dc:title>ORGANISME :_____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-1635112667</vt:i4>
  </property>
  <property fmtid="{D5CDD505-2E9C-101B-9397-08002B2CF9AE}" pid="9" name="_AuthorEmail">
    <vt:lpwstr>thierry.wagner@groupe-balland.com</vt:lpwstr>
  </property>
  <property fmtid="{D5CDD505-2E9C-101B-9397-08002B2CF9AE}" pid="10" name="_AuthorEmailDisplayName">
    <vt:lpwstr>thierry wagner</vt:lpwstr>
  </property>
  <property fmtid="{D5CDD505-2E9C-101B-9397-08002B2CF9AE}" pid="11" name="_EmailSubject">
    <vt:lpwstr>Procédure Audit interne </vt:lpwstr>
  </property>
  <property fmtid="{D5CDD505-2E9C-101B-9397-08002B2CF9AE}" pid="12" name="_ReviewingToolsShownOnce">
    <vt:lpwstr/>
  </property>
</Properties>
</file>